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1041" w:firstLineChars="200"/>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1041" w:firstLineChars="200"/>
        <w:jc w:val="center"/>
        <w:rPr>
          <w:rFonts w:ascii="华文中宋" w:hAnsi="华文中宋" w:eastAsia="华文中宋" w:cs="华文中宋"/>
          <w:b/>
          <w:bCs/>
          <w:kern w:val="0"/>
          <w:sz w:val="52"/>
          <w:szCs w:val="52"/>
        </w:rPr>
      </w:pPr>
    </w:p>
    <w:p>
      <w:pPr>
        <w:pStyle w:val="48"/>
        <w:spacing w:line="570" w:lineRule="exact"/>
        <w:ind w:firstLine="720" w:firstLineChars="200"/>
        <w:jc w:val="center"/>
        <w:rPr>
          <w:rFonts w:ascii="方正黑体_GBK" w:hAnsi="华文中宋" w:eastAsia="方正黑体_GBK" w:cs="华文中宋"/>
          <w:b/>
          <w:bCs/>
          <w:kern w:val="0"/>
          <w:sz w:val="36"/>
          <w:szCs w:val="36"/>
        </w:rPr>
      </w:pPr>
    </w:p>
    <w:p>
      <w:pPr>
        <w:pStyle w:val="48"/>
        <w:spacing w:line="570" w:lineRule="exact"/>
        <w:ind w:firstLine="720" w:firstLineChars="200"/>
        <w:jc w:val="center"/>
        <w:rPr>
          <w:rFonts w:ascii="方正黑体_GBK" w:hAnsi="华文中宋" w:eastAsia="方正黑体_GBK" w:cs="华文中宋"/>
          <w:b/>
          <w:bCs/>
          <w:kern w:val="0"/>
          <w:sz w:val="36"/>
          <w:szCs w:val="36"/>
          <w:lang w:val="zh-TW" w:eastAsia="zh-TW"/>
        </w:rPr>
      </w:pPr>
      <w:r>
        <w:rPr>
          <w:rFonts w:hint="eastAsia" w:ascii="方正黑体_GBK" w:hAnsi="华文中宋" w:eastAsia="方正黑体_GBK" w:cs="华文中宋"/>
          <w:b/>
          <w:bCs/>
          <w:kern w:val="0"/>
          <w:sz w:val="36"/>
          <w:szCs w:val="36"/>
          <w:lang w:val="zh-TW" w:eastAsia="zh-TW"/>
        </w:rPr>
        <w:t>新疆财政支出绩效自评报告</w:t>
      </w:r>
    </w:p>
    <w:p>
      <w:pPr>
        <w:adjustRightInd w:val="0"/>
        <w:snapToGrid w:val="0"/>
        <w:spacing w:line="570" w:lineRule="exact"/>
        <w:ind w:firstLine="1041" w:firstLineChars="200"/>
        <w:rPr>
          <w:rFonts w:ascii="华文中宋" w:hAnsi="华文中宋" w:eastAsia="华文中宋" w:cs="华文中宋"/>
          <w:b/>
          <w:bCs/>
          <w:kern w:val="0"/>
          <w:sz w:val="52"/>
          <w:szCs w:val="52"/>
        </w:rPr>
      </w:pPr>
    </w:p>
    <w:p>
      <w:pPr>
        <w:pStyle w:val="48"/>
        <w:spacing w:line="570" w:lineRule="exact"/>
        <w:ind w:firstLine="720" w:firstLineChars="200"/>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年度）</w:t>
      </w: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rPr>
          <w:kern w:val="0"/>
          <w:sz w:val="30"/>
          <w:szCs w:val="30"/>
        </w:rPr>
      </w:pPr>
    </w:p>
    <w:p>
      <w:pPr>
        <w:pStyle w:val="48"/>
        <w:spacing w:line="570" w:lineRule="exact"/>
        <w:ind w:firstLine="600" w:firstLineChars="200"/>
        <w:rPr>
          <w:kern w:val="0"/>
          <w:sz w:val="30"/>
          <w:szCs w:val="30"/>
        </w:rPr>
      </w:pPr>
    </w:p>
    <w:p>
      <w:pPr>
        <w:pStyle w:val="48"/>
        <w:spacing w:line="570" w:lineRule="exact"/>
        <w:ind w:firstLine="720" w:firstLineChars="200"/>
        <w:jc w:val="left"/>
        <w:rPr>
          <w:rFonts w:ascii="仿宋_GB2312" w:hAnsi="仿宋_GB2312" w:eastAsia="仿宋_GB2312" w:cs="仿宋_GB2312"/>
          <w:kern w:val="0"/>
          <w:sz w:val="56"/>
          <w:szCs w:val="56"/>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rPr>
        <w:t>:</w:t>
      </w:r>
      <w:r>
        <w:rPr>
          <w:rFonts w:hint="eastAsia" w:eastAsia="仿宋_GB2312"/>
          <w:sz w:val="36"/>
          <w:szCs w:val="36"/>
        </w:rPr>
        <w:t>贫困户自主创业项目</w:t>
      </w:r>
    </w:p>
    <w:p>
      <w:pPr>
        <w:pStyle w:val="48"/>
        <w:spacing w:line="570" w:lineRule="exact"/>
        <w:ind w:firstLine="720" w:firstLineChars="200"/>
        <w:jc w:val="left"/>
        <w:rPr>
          <w:rFonts w:eastAsia="仿宋_GB2312"/>
          <w:kern w:val="0"/>
          <w:sz w:val="36"/>
          <w:szCs w:val="36"/>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rPr>
        <w:t>托普鲁克乡人民政府</w:t>
      </w:r>
    </w:p>
    <w:p>
      <w:pPr>
        <w:pStyle w:val="48"/>
        <w:spacing w:line="57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rPr>
        <w:t>托普鲁克乡人民政府</w:t>
      </w:r>
    </w:p>
    <w:p>
      <w:pPr>
        <w:pStyle w:val="48"/>
        <w:spacing w:line="570" w:lineRule="exact"/>
        <w:ind w:firstLine="720" w:firstLineChars="200"/>
        <w:jc w:val="left"/>
        <w:rPr>
          <w:rFonts w:eastAsia="仿宋_GB2312"/>
          <w:kern w:val="0"/>
          <w:sz w:val="36"/>
          <w:szCs w:val="36"/>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rPr>
        <w:t>王廷峰</w:t>
      </w:r>
    </w:p>
    <w:p>
      <w:pPr>
        <w:pStyle w:val="48"/>
        <w:spacing w:line="57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zh-TW"/>
        </w:rPr>
        <w:t>9</w:t>
      </w:r>
      <w:r>
        <w:rPr>
          <w:rFonts w:ascii="仿宋_GB2312" w:hAnsi="仿宋_GB2312" w:eastAsia="仿宋_GB2312" w:cs="仿宋_GB2312"/>
          <w:kern w:val="0"/>
          <w:sz w:val="36"/>
          <w:szCs w:val="36"/>
          <w:lang w:val="zh-TW" w:eastAsia="zh-TW"/>
        </w:rPr>
        <w:t>年</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月</w:t>
      </w:r>
      <w:r>
        <w:rPr>
          <w:rFonts w:hint="eastAsia" w:ascii="仿宋_GB2312" w:hAnsi="仿宋_GB2312" w:eastAsia="仿宋_GB2312" w:cs="仿宋_GB2312"/>
          <w:kern w:val="0"/>
          <w:sz w:val="36"/>
          <w:szCs w:val="36"/>
        </w:rPr>
        <w:t>22</w:t>
      </w:r>
      <w:r>
        <w:rPr>
          <w:rFonts w:ascii="仿宋_GB2312" w:hAnsi="仿宋_GB2312" w:eastAsia="仿宋_GB2312" w:cs="仿宋_GB2312"/>
          <w:kern w:val="0"/>
          <w:sz w:val="36"/>
          <w:szCs w:val="36"/>
          <w:lang w:val="zh-TW" w:eastAsia="zh-TW"/>
        </w:rPr>
        <w:t>日</w:t>
      </w:r>
    </w:p>
    <w:p>
      <w:pPr>
        <w:pStyle w:val="48"/>
        <w:spacing w:line="570" w:lineRule="exact"/>
        <w:ind w:firstLine="624" w:firstLineChars="200"/>
        <w:jc w:val="left"/>
        <w:rPr>
          <w:rStyle w:val="18"/>
          <w:rFonts w:ascii="黑体" w:hAnsi="黑体" w:eastAsia="黑体"/>
          <w:b w:val="0"/>
          <w:spacing w:val="-4"/>
          <w:sz w:val="32"/>
          <w:szCs w:val="32"/>
        </w:rPr>
      </w:pP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560" w:lineRule="exact"/>
        <w:ind w:firstLine="723" w:firstLineChars="200"/>
        <w:jc w:val="center"/>
        <w:rPr>
          <w:rStyle w:val="18"/>
          <w:rFonts w:ascii="黑体" w:hAnsi="黑体" w:eastAsia="黑体"/>
          <w:b w:val="0"/>
          <w:spacing w:val="-4"/>
          <w:sz w:val="32"/>
          <w:szCs w:val="32"/>
        </w:rPr>
      </w:pPr>
      <w:r>
        <w:rPr>
          <w:rFonts w:hint="eastAsia" w:ascii="黑体" w:hAnsi="黑体" w:eastAsia="黑体" w:cs="宋体"/>
          <w:b/>
          <w:kern w:val="0"/>
          <w:sz w:val="36"/>
          <w:szCs w:val="36"/>
        </w:rPr>
        <w:t>托普鲁克乡贫困户自主创业项目绩效自评报告</w:t>
      </w:r>
    </w:p>
    <w:p>
      <w:pPr>
        <w:pStyle w:val="48"/>
        <w:spacing w:line="700" w:lineRule="exact"/>
        <w:ind w:firstLine="624" w:firstLineChars="200"/>
        <w:jc w:val="left"/>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40" w:lineRule="exact"/>
        <w:ind w:firstLine="640"/>
        <w:rPr>
          <w:rStyle w:val="18"/>
          <w:rFonts w:ascii="仿宋" w:hAnsi="仿宋" w:eastAsia="仿宋"/>
          <w:b w:val="0"/>
          <w:spacing w:val="-4"/>
          <w:sz w:val="32"/>
          <w:szCs w:val="32"/>
        </w:rPr>
      </w:pPr>
      <w:r>
        <w:rPr>
          <w:rStyle w:val="18"/>
          <w:rFonts w:hint="eastAsia" w:ascii="楷体" w:hAnsi="楷体" w:eastAsia="楷体"/>
          <w:spacing w:val="-4"/>
          <w:sz w:val="32"/>
          <w:szCs w:val="32"/>
        </w:rPr>
        <w:t>托普鲁克乡位于英吉沙县东南部，距县城23公里，地里位置处于东经76°14′，北纬38°46′，境内海拔高度1365米，地势呈西南高，东北部低。南北长约28公里，东西宽约15公里，总面积约339.44平方公里，折合33946.47公顷，东南与克孜勒乡连接，西南与依格孜亚乡接壤，西部与苏盖提乡毗邻，北部喀拉克山与萨汗镇交界。</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pPr>
      <w:r>
        <w:rPr>
          <w:rStyle w:val="18"/>
          <w:rFonts w:hint="eastAsia" w:ascii="仿宋" w:hAnsi="仿宋" w:eastAsia="仿宋"/>
          <w:b w:val="0"/>
          <w:spacing w:val="-4"/>
          <w:sz w:val="32"/>
          <w:szCs w:val="32"/>
        </w:rPr>
        <w:t>县财政为托普鲁克乡拨付贫困户自主创业项目资金，通过鼓励有条件的贫困户主动创业，形成创业风气，增加就业岗位，通过产业发展，带动就业脱贫，形成可持续的脱贫成效，增加社会总产出。可有效的增加在职农民的收入，提高生活水平。</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w:t>
      </w:r>
      <w:r>
        <w:rPr>
          <w:rStyle w:val="18"/>
          <w:rFonts w:hint="eastAsia" w:ascii="仿宋" w:hAnsi="仿宋" w:eastAsia="仿宋"/>
          <w:b w:val="0"/>
          <w:spacing w:val="-4"/>
          <w:sz w:val="32"/>
          <w:szCs w:val="32"/>
        </w:rPr>
        <w:t>项目</w:t>
      </w:r>
      <w:r>
        <w:rPr>
          <w:rFonts w:hint="eastAsia" w:ascii="仿宋" w:hAnsi="仿宋" w:eastAsia="仿宋"/>
          <w:bCs/>
          <w:spacing w:val="-4"/>
          <w:sz w:val="32"/>
          <w:szCs w:val="32"/>
        </w:rPr>
        <w:t>性质为短期项目。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托普鲁克乡贫困户自主创业为镇政府扶贫项目，通过鼓励有条件的贫困户主动创业，形成创业风气，增加就业岗位，通过产业发展，带动就业脱贫，形成可持续的脱贫成效，增加社会总产出。受益范围为全镇各族群众。</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英吉沙县托普鲁克乡贫困户自主创业项目预算安排总额为</w:t>
      </w:r>
      <w:r>
        <w:rPr>
          <w:rStyle w:val="18"/>
          <w:rFonts w:ascii="仿宋" w:hAnsi="仿宋" w:eastAsia="仿宋"/>
          <w:b w:val="0"/>
          <w:spacing w:val="-4"/>
          <w:sz w:val="32"/>
          <w:szCs w:val="32"/>
        </w:rPr>
        <w:t>22</w:t>
      </w:r>
      <w:r>
        <w:rPr>
          <w:rStyle w:val="18"/>
          <w:rFonts w:hint="eastAsia" w:ascii="仿宋" w:hAnsi="仿宋" w:eastAsia="仿宋"/>
          <w:b w:val="0"/>
          <w:spacing w:val="-4"/>
          <w:sz w:val="32"/>
          <w:szCs w:val="32"/>
        </w:rPr>
        <w:t>万元，其中财政资金</w:t>
      </w:r>
      <w:r>
        <w:rPr>
          <w:rStyle w:val="18"/>
          <w:rFonts w:ascii="仿宋" w:hAnsi="仿宋" w:eastAsia="仿宋"/>
          <w:b w:val="0"/>
          <w:spacing w:val="-4"/>
          <w:sz w:val="32"/>
          <w:szCs w:val="32"/>
        </w:rPr>
        <w:t>22</w:t>
      </w:r>
      <w:r>
        <w:rPr>
          <w:rStyle w:val="18"/>
          <w:rFonts w:hint="eastAsia" w:ascii="仿宋" w:hAnsi="仿宋" w:eastAsia="仿宋"/>
          <w:b w:val="0"/>
          <w:spacing w:val="-4"/>
          <w:sz w:val="32"/>
          <w:szCs w:val="32"/>
        </w:rPr>
        <w:t>万元，自筹资金0万元，2018年实际收到预算资金</w:t>
      </w:r>
      <w:r>
        <w:rPr>
          <w:rStyle w:val="18"/>
          <w:rFonts w:ascii="仿宋" w:hAnsi="仿宋" w:eastAsia="仿宋"/>
          <w:b w:val="0"/>
          <w:spacing w:val="-4"/>
          <w:sz w:val="32"/>
          <w:szCs w:val="32"/>
        </w:rPr>
        <w:t>22</w:t>
      </w:r>
      <w:r>
        <w:rPr>
          <w:rStyle w:val="18"/>
          <w:rFonts w:hint="eastAsia" w:ascii="仿宋" w:hAnsi="仿宋" w:eastAsia="仿宋"/>
          <w:b w:val="0"/>
          <w:spacing w:val="-4"/>
          <w:sz w:val="32"/>
          <w:szCs w:val="32"/>
        </w:rPr>
        <w:t>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本项目已支付资金</w:t>
      </w:r>
      <w:r>
        <w:rPr>
          <w:rStyle w:val="18"/>
          <w:rFonts w:ascii="仿宋" w:hAnsi="仿宋" w:eastAsia="仿宋"/>
          <w:b w:val="0"/>
          <w:spacing w:val="-4"/>
          <w:sz w:val="32"/>
          <w:szCs w:val="32"/>
        </w:rPr>
        <w:t>22</w:t>
      </w:r>
      <w:r>
        <w:rPr>
          <w:rStyle w:val="18"/>
          <w:rFonts w:hint="eastAsia" w:ascii="仿宋" w:hAnsi="仿宋" w:eastAsia="仿宋"/>
          <w:b w:val="0"/>
          <w:spacing w:val="-4"/>
          <w:sz w:val="32"/>
          <w:szCs w:val="32"/>
        </w:rPr>
        <w:t>万元</w:t>
      </w:r>
      <w:r>
        <w:rPr>
          <w:rFonts w:hint="eastAsia" w:ascii="仿宋" w:hAnsi="仿宋" w:eastAsia="仿宋"/>
          <w:bCs/>
          <w:spacing w:val="-4"/>
          <w:sz w:val="32"/>
          <w:szCs w:val="32"/>
        </w:rPr>
        <w:t>，结余资金为0万元。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Style w:val="18"/>
          <w:rFonts w:ascii="仿宋" w:hAnsi="仿宋" w:eastAsia="仿宋"/>
          <w:b w:val="0"/>
          <w:bCs w:val="0"/>
          <w:spacing w:val="-4"/>
          <w:sz w:val="32"/>
          <w:szCs w:val="32"/>
        </w:rPr>
      </w:pPr>
      <w:r>
        <w:rPr>
          <w:rFonts w:hint="eastAsia" w:ascii="仿宋" w:hAnsi="仿宋" w:eastAsia="仿宋"/>
          <w:bCs/>
          <w:spacing w:val="-4"/>
          <w:sz w:val="32"/>
          <w:szCs w:val="32"/>
        </w:rPr>
        <w:t>本项目支出符合英吉沙县财政局、英吉沙县托普鲁克乡人民政府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该项目属于短期项目,由托普鲁克乡人民政府主管项目。实施过程均按照本单位制定的管理制度执行。</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本项目不存在调整情况。</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为保证项目质量和成本控制，项目实施完成后，由本项目相关人员组织进行发放情况。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60" w:lineRule="exact"/>
        <w:ind w:firstLine="624" w:firstLineChars="200"/>
        <w:outlineLvl w:val="0"/>
        <w:rPr>
          <w:rStyle w:val="18"/>
          <w:rFonts w:ascii="仿宋" w:hAnsi="仿宋" w:eastAsia="仿宋"/>
          <w:b w:val="0"/>
          <w:bCs w:val="0"/>
          <w:spacing w:val="-4"/>
          <w:sz w:val="32"/>
          <w:szCs w:val="32"/>
        </w:rPr>
      </w:pPr>
      <w:r>
        <w:rPr>
          <w:rFonts w:hint="eastAsia" w:ascii="仿宋" w:hAnsi="仿宋" w:eastAsia="仿宋"/>
          <w:bCs/>
          <w:spacing w:val="-4"/>
          <w:sz w:val="32"/>
          <w:szCs w:val="32"/>
        </w:rPr>
        <w:t>项目实施过程中，英吉沙县托普鲁克乡人民政府制定了英吉沙县托普鲁克乡贫困户自主创业项目资金支出及资金核销管理办法，保障项目的顺利实施。项目的实施遵守相关法律法规和业务管理规定，项目资料齐全并及时归档。已建立相关日常检查监督检查机制，不定期对项目进度情况进行督导检查，对检查过程中发现的问题及时督促整改，尽全力确保项目按时保质完成。</w:t>
      </w:r>
    </w:p>
    <w:p>
      <w:pPr>
        <w:adjustRightInd w:val="0"/>
        <w:snapToGrid w:val="0"/>
        <w:spacing w:line="560" w:lineRule="exact"/>
        <w:ind w:firstLine="624" w:firstLineChars="200"/>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spacing w:val="-4"/>
          <w:sz w:val="32"/>
          <w:szCs w:val="32"/>
        </w:rPr>
      </w:pPr>
      <w:r>
        <w:rPr>
          <w:rFonts w:ascii="仿宋" w:hAnsi="仿宋" w:eastAsia="仿宋"/>
          <w:bCs/>
          <w:spacing w:val="-4"/>
          <w:sz w:val="32"/>
          <w:szCs w:val="32"/>
        </w:rPr>
        <w:t>本项目共设置一级指标</w:t>
      </w:r>
      <w:r>
        <w:rPr>
          <w:rFonts w:hint="eastAsia" w:ascii="仿宋" w:hAnsi="仿宋" w:eastAsia="仿宋"/>
          <w:bCs/>
          <w:spacing w:val="-4"/>
          <w:sz w:val="32"/>
          <w:szCs w:val="32"/>
        </w:rPr>
        <w:t>3</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二级指标</w:t>
      </w:r>
      <w:r>
        <w:rPr>
          <w:rFonts w:hint="eastAsia" w:ascii="仿宋" w:hAnsi="仿宋" w:eastAsia="仿宋"/>
          <w:bCs/>
          <w:spacing w:val="-4"/>
          <w:sz w:val="32"/>
          <w:szCs w:val="32"/>
        </w:rPr>
        <w:t>9</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三级指标</w:t>
      </w:r>
      <w:r>
        <w:rPr>
          <w:rFonts w:hint="eastAsia" w:ascii="仿宋" w:hAnsi="仿宋" w:eastAsia="仿宋"/>
          <w:bCs/>
          <w:spacing w:val="-4"/>
          <w:sz w:val="32"/>
          <w:szCs w:val="32"/>
        </w:rPr>
        <w:t>12</w:t>
      </w:r>
      <w:r>
        <w:rPr>
          <w:rFonts w:ascii="仿宋" w:hAnsi="仿宋" w:eastAsia="仿宋"/>
          <w:bCs/>
          <w:spacing w:val="-4"/>
          <w:sz w:val="32"/>
          <w:szCs w:val="32"/>
        </w:rPr>
        <w:t>个</w:t>
      </w:r>
      <w:r>
        <w:rPr>
          <w:rFonts w:hint="eastAsia" w:ascii="仿宋" w:hAnsi="仿宋" w:eastAsia="仿宋"/>
          <w:bCs/>
          <w:spacing w:val="-4"/>
          <w:sz w:val="32"/>
          <w:szCs w:val="32"/>
        </w:rPr>
        <w:t>，目前该项目已完成。</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outlineLvl w:val="0"/>
        <w:rPr>
          <w:rFonts w:ascii="仿宋" w:hAnsi="仿宋" w:eastAsia="仿宋"/>
          <w:spacing w:val="-4"/>
          <w:sz w:val="32"/>
          <w:szCs w:val="32"/>
        </w:rPr>
      </w:pPr>
      <w:r>
        <w:rPr>
          <w:rFonts w:ascii="仿宋" w:hAnsi="仿宋" w:eastAsia="仿宋"/>
          <w:spacing w:val="-4"/>
          <w:sz w:val="32"/>
          <w:szCs w:val="32"/>
        </w:rPr>
        <w:t>无</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根据项目现实施情况，计划下一年度做好农民思想工作，提升贫困户干事创业的技能水平，仔细摸排，认真部署，确保项目能够落地生根、开花结果，形成实效，以保证农民</w:t>
      </w:r>
      <w:bookmarkStart w:id="0" w:name="_GoBack"/>
      <w:bookmarkEnd w:id="0"/>
      <w:r>
        <w:rPr>
          <w:rFonts w:hint="eastAsia" w:ascii="仿宋" w:hAnsi="仿宋" w:eastAsia="仿宋"/>
          <w:bCs/>
          <w:spacing w:val="-4"/>
          <w:sz w:val="32"/>
          <w:szCs w:val="32"/>
          <w:lang w:eastAsia="zh-CN"/>
        </w:rPr>
        <w:t>稳步</w:t>
      </w:r>
      <w:r>
        <w:rPr>
          <w:rFonts w:hint="eastAsia" w:ascii="仿宋" w:hAnsi="仿宋" w:eastAsia="仿宋"/>
          <w:bCs/>
          <w:spacing w:val="-4"/>
          <w:sz w:val="32"/>
          <w:szCs w:val="32"/>
        </w:rPr>
        <w:t>增收，如期脱贫。</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1、主要经验及做法：</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由于项目存在较为严格的管理要求，镇党委高度重视并召开专题讨论会，及时制定相关管理办法。</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存在的问题：</w:t>
      </w:r>
    </w:p>
    <w:p>
      <w:pPr>
        <w:adjustRightInd w:val="0"/>
        <w:snapToGrid w:val="0"/>
        <w:spacing w:line="560" w:lineRule="exact"/>
        <w:ind w:firstLine="624" w:firstLineChars="200"/>
        <w:outlineLvl w:val="0"/>
        <w:rPr>
          <w:rFonts w:ascii="仿宋" w:hAnsi="仿宋" w:eastAsia="仿宋"/>
          <w:spacing w:val="-4"/>
          <w:sz w:val="32"/>
          <w:szCs w:val="32"/>
        </w:rPr>
      </w:pPr>
      <w:r>
        <w:rPr>
          <w:rFonts w:ascii="仿宋" w:hAnsi="仿宋" w:eastAsia="仿宋"/>
          <w:spacing w:val="-4"/>
          <w:sz w:val="32"/>
          <w:szCs w:val="32"/>
        </w:rPr>
        <w:t>无</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建议：</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根据项目现实施情况，下一年度做好农民思想工作，提升贫困户干事创业的技能水平，仔细摸排，认真部署，确保项目能够落地生根、开花结果，形成实效，以保证农民</w:t>
      </w:r>
      <w:r>
        <w:rPr>
          <w:rFonts w:hint="eastAsia" w:ascii="仿宋" w:hAnsi="仿宋" w:eastAsia="仿宋"/>
          <w:bCs/>
          <w:spacing w:val="-4"/>
          <w:sz w:val="32"/>
          <w:szCs w:val="32"/>
          <w:lang w:eastAsia="zh-CN"/>
        </w:rPr>
        <w:t>稳步</w:t>
      </w:r>
      <w:r>
        <w:rPr>
          <w:rFonts w:hint="eastAsia" w:ascii="仿宋" w:hAnsi="仿宋" w:eastAsia="仿宋"/>
          <w:bCs/>
          <w:spacing w:val="-4"/>
          <w:sz w:val="32"/>
          <w:szCs w:val="32"/>
        </w:rPr>
        <w:t>增收，如期脱贫。</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英吉沙县托普鲁克乡贫困户自主创业资金的使用方式和效果，项目管理过程是否规范，是否完成了预期绩效目标等。同时，通过开展自我评价来总结经验和教训，为我镇其他扶贫项目今后的开展提供参考建议。</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8"/>
          <w:rFonts w:ascii="仿宋" w:hAnsi="仿宋" w:eastAsia="仿宋"/>
          <w:spacing w:val="-4"/>
          <w:sz w:val="32"/>
          <w:szCs w:val="32"/>
        </w:rPr>
      </w:pPr>
    </w:p>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华文中宋">
    <w:altName w:val="hakuyoxingshu7000"/>
    <w:panose1 w:val="02010600040101010101"/>
    <w:charset w:val="86"/>
    <w:family w:val="auto"/>
    <w:pitch w:val="default"/>
    <w:sig w:usb0="00000000" w:usb1="00000000" w:usb2="00000010" w:usb3="00000000" w:csb0="0004009F" w:csb1="00000000"/>
  </w:font>
  <w:font w:name="方正黑体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hakuyoxingshu7000">
    <w:panose1 w:val="02000600000000000000"/>
    <w:charset w:val="86"/>
    <w:family w:val="auto"/>
    <w:pitch w:val="default"/>
    <w:sig w:usb0="FFFFFFFF" w:usb1="E9FFFFFF" w:usb2="0000003F" w:usb3="00000000" w:csb0="603F00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1990F2"/>
    <w:multiLevelType w:val="singleLevel"/>
    <w:tmpl w:val="E51990F2"/>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04DCA"/>
    <w:rsid w:val="0012208E"/>
    <w:rsid w:val="00135256"/>
    <w:rsid w:val="001A4E1F"/>
    <w:rsid w:val="001A57B9"/>
    <w:rsid w:val="001C3847"/>
    <w:rsid w:val="001F3031"/>
    <w:rsid w:val="0021028E"/>
    <w:rsid w:val="00210A26"/>
    <w:rsid w:val="00232163"/>
    <w:rsid w:val="002A2532"/>
    <w:rsid w:val="002A2D76"/>
    <w:rsid w:val="0035448F"/>
    <w:rsid w:val="00365250"/>
    <w:rsid w:val="0036624C"/>
    <w:rsid w:val="00367255"/>
    <w:rsid w:val="0037491F"/>
    <w:rsid w:val="00385849"/>
    <w:rsid w:val="003A1EEB"/>
    <w:rsid w:val="004606B2"/>
    <w:rsid w:val="0050167F"/>
    <w:rsid w:val="00514506"/>
    <w:rsid w:val="005162F1"/>
    <w:rsid w:val="00516E80"/>
    <w:rsid w:val="00535153"/>
    <w:rsid w:val="00557276"/>
    <w:rsid w:val="00575CFE"/>
    <w:rsid w:val="00583AFC"/>
    <w:rsid w:val="00592D09"/>
    <w:rsid w:val="00675D58"/>
    <w:rsid w:val="006F05B3"/>
    <w:rsid w:val="006F2E6D"/>
    <w:rsid w:val="007218B8"/>
    <w:rsid w:val="007350AE"/>
    <w:rsid w:val="00755C6A"/>
    <w:rsid w:val="00785FDE"/>
    <w:rsid w:val="007A0351"/>
    <w:rsid w:val="007A14BC"/>
    <w:rsid w:val="007C0749"/>
    <w:rsid w:val="007C1025"/>
    <w:rsid w:val="007E6845"/>
    <w:rsid w:val="007F5F8A"/>
    <w:rsid w:val="00826CA1"/>
    <w:rsid w:val="00835B7F"/>
    <w:rsid w:val="00855E3A"/>
    <w:rsid w:val="00856070"/>
    <w:rsid w:val="008B79C3"/>
    <w:rsid w:val="008D462C"/>
    <w:rsid w:val="008E7BA0"/>
    <w:rsid w:val="00900D99"/>
    <w:rsid w:val="00922CB9"/>
    <w:rsid w:val="009350F7"/>
    <w:rsid w:val="00946B40"/>
    <w:rsid w:val="009B526F"/>
    <w:rsid w:val="009C1AFD"/>
    <w:rsid w:val="00A26421"/>
    <w:rsid w:val="00A4293B"/>
    <w:rsid w:val="00A53133"/>
    <w:rsid w:val="00A83BD5"/>
    <w:rsid w:val="00A977DF"/>
    <w:rsid w:val="00AE6A23"/>
    <w:rsid w:val="00B06CA5"/>
    <w:rsid w:val="00B41F61"/>
    <w:rsid w:val="00B55332"/>
    <w:rsid w:val="00B86E8C"/>
    <w:rsid w:val="00BE1A00"/>
    <w:rsid w:val="00C22CF0"/>
    <w:rsid w:val="00C56C72"/>
    <w:rsid w:val="00CA6457"/>
    <w:rsid w:val="00CC6E4D"/>
    <w:rsid w:val="00D17F2E"/>
    <w:rsid w:val="00D46194"/>
    <w:rsid w:val="00DE10C1"/>
    <w:rsid w:val="00E01293"/>
    <w:rsid w:val="00E027D1"/>
    <w:rsid w:val="00E769FE"/>
    <w:rsid w:val="00EA2CBE"/>
    <w:rsid w:val="00EA78B6"/>
    <w:rsid w:val="00F32FEE"/>
    <w:rsid w:val="00F53E69"/>
    <w:rsid w:val="067D29CF"/>
    <w:rsid w:val="09F141FA"/>
    <w:rsid w:val="186F052F"/>
    <w:rsid w:val="284177E2"/>
    <w:rsid w:val="2AE40F6B"/>
    <w:rsid w:val="373140DD"/>
    <w:rsid w:val="3B700F79"/>
    <w:rsid w:val="3BD00B57"/>
    <w:rsid w:val="3C244682"/>
    <w:rsid w:val="3E960FD9"/>
    <w:rsid w:val="462455B2"/>
    <w:rsid w:val="488E0CC2"/>
    <w:rsid w:val="4DAE4465"/>
    <w:rsid w:val="4DC432D2"/>
    <w:rsid w:val="52A22AB4"/>
    <w:rsid w:val="5B652028"/>
    <w:rsid w:val="64ED4BA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A75B22-8826-4E97-91EB-370F9BDE3EA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Pages>
  <Words>254</Words>
  <Characters>1449</Characters>
  <Lines>12</Lines>
  <Paragraphs>3</Paragraphs>
  <TotalTime>52</TotalTime>
  <ScaleCrop>false</ScaleCrop>
  <LinksUpToDate>false</LinksUpToDate>
  <CharactersWithSpaces>1700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2019-09-17T02:40:35Z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